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autoSpaceDE w:val="0"/>
        <w:autoSpaceDN w:val="0"/>
        <w:jc w:val="center"/>
        <w:rPr>
          <w:rFonts w:ascii="宋体" w:hAnsi="宋体"/>
          <w:b/>
          <w:bCs/>
          <w:sz w:val="44"/>
          <w:szCs w:val="44"/>
        </w:rPr>
      </w:pPr>
      <w:bookmarkStart w:id="0" w:name="_GoBack"/>
      <w:r>
        <w:rPr>
          <w:rFonts w:hint="eastAsia" w:ascii="宋体" w:hAnsi="宋体"/>
          <w:b/>
          <w:bCs/>
          <w:sz w:val="44"/>
          <w:szCs w:val="44"/>
        </w:rPr>
        <w:t>202</w:t>
      </w:r>
      <w:r>
        <w:rPr>
          <w:rFonts w:hint="eastAsia" w:ascii="宋体" w:hAnsi="宋体"/>
          <w:b/>
          <w:bCs/>
          <w:sz w:val="44"/>
          <w:szCs w:val="44"/>
          <w:lang w:val="en-US" w:eastAsia="zh-CN"/>
        </w:rPr>
        <w:t>4</w:t>
      </w:r>
      <w:r>
        <w:rPr>
          <w:rFonts w:hint="eastAsia" w:ascii="宋体" w:hAnsi="宋体"/>
          <w:b/>
          <w:bCs/>
          <w:sz w:val="44"/>
          <w:szCs w:val="44"/>
        </w:rPr>
        <w:t>年度国家</w:t>
      </w:r>
      <w:r>
        <w:rPr>
          <w:rFonts w:ascii="宋体" w:hAnsi="宋体"/>
          <w:b/>
          <w:bCs/>
          <w:sz w:val="44"/>
          <w:szCs w:val="44"/>
        </w:rPr>
        <w:t>自然科学基金区域创新发展</w:t>
      </w:r>
    </w:p>
    <w:p>
      <w:pPr>
        <w:autoSpaceDE w:val="0"/>
        <w:autoSpaceDN w:val="0"/>
        <w:jc w:val="center"/>
        <w:rPr>
          <w:rFonts w:ascii="宋体" w:hAnsi="宋体"/>
          <w:b/>
          <w:bCs/>
          <w:sz w:val="44"/>
          <w:szCs w:val="44"/>
        </w:rPr>
      </w:pPr>
      <w:r>
        <w:rPr>
          <w:rFonts w:ascii="宋体" w:hAnsi="宋体"/>
          <w:b/>
          <w:bCs/>
          <w:sz w:val="44"/>
          <w:szCs w:val="44"/>
        </w:rPr>
        <w:t>联合基金指南</w:t>
      </w:r>
      <w:r>
        <w:rPr>
          <w:rFonts w:hint="eastAsia" w:ascii="宋体" w:hAnsi="宋体"/>
          <w:b/>
          <w:bCs/>
          <w:sz w:val="44"/>
          <w:szCs w:val="44"/>
        </w:rPr>
        <w:t>（内蒙古</w:t>
      </w:r>
      <w:r>
        <w:rPr>
          <w:rFonts w:ascii="宋体" w:hAnsi="宋体"/>
          <w:b/>
          <w:bCs/>
          <w:sz w:val="44"/>
          <w:szCs w:val="44"/>
        </w:rPr>
        <w:t>节选）</w:t>
      </w:r>
      <w:bookmarkEnd w:id="0"/>
    </w:p>
    <w:p>
      <w:pPr>
        <w:ind w:firstLine="600" w:firstLineChars="200"/>
        <w:rPr>
          <w:rFonts w:hint="eastAsia" w:ascii="黑体" w:hAnsi="黑体" w:eastAsia="黑体" w:cs="黑体"/>
          <w:sz w:val="30"/>
          <w:szCs w:val="30"/>
        </w:rPr>
      </w:pPr>
    </w:p>
    <w:p>
      <w:pPr>
        <w:ind w:firstLine="600" w:firstLineChars="200"/>
        <w:rPr>
          <w:rFonts w:hint="eastAsia" w:ascii="黑体" w:hAnsi="黑体" w:eastAsia="黑体" w:cs="黑体"/>
          <w:sz w:val="30"/>
          <w:szCs w:val="30"/>
        </w:rPr>
      </w:pPr>
      <w:r>
        <w:rPr>
          <w:rFonts w:hint="eastAsia" w:ascii="黑体" w:hAnsi="黑体" w:eastAsia="黑体" w:cs="黑体"/>
          <w:sz w:val="30"/>
          <w:szCs w:val="30"/>
        </w:rPr>
        <w:t>一、生物与农业领域</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立足内蒙古自治区重要农牧业和生命科学发展需求，围绕特色作物育种和牛羊生物育种等领域的关键科学问题，开展相关基础研究或应用基础研究重点支持项目</w:t>
      </w:r>
      <w:r>
        <w:rPr>
          <w:rFonts w:hint="eastAsia" w:ascii="仿宋" w:hAnsi="仿宋" w:eastAsia="仿宋" w:cs="仿宋"/>
          <w:sz w:val="30"/>
          <w:szCs w:val="30"/>
          <w:lang w:eastAsia="zh-CN"/>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重点支持项目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研究方向：</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1.寒旱区加工型马铃薯品质特性遗传解析及种质创制(申请代码1选择C13的下属代码)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针对寒旱区加工型马铃薯关键品质特性遗传基础不清的问 题，筛选自然群体和突变体库，挖掘淀粉品质、龙葵素等品质特 性相关功能基因，鉴定优异等位变异，解析调控机制，创制新种质，为优质加工型品种选育提供理论依据和优异新种质。</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2.蒙古牛卵母细胞发育成熟与胚胎体外发育的调控机制(申请代码1选择C17的下属代码)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针对蒙古牛卵母细胞发育质量低下、体外发育老化、染色体 异倍性等问题，重点关注体内、体外卵母细胞发育和成熟的内分</w:t>
      </w:r>
    </w:p>
    <w:p>
      <w:pPr>
        <w:rPr>
          <w:rFonts w:hint="eastAsia" w:ascii="仿宋" w:hAnsi="仿宋" w:eastAsia="仿宋" w:cs="仿宋"/>
          <w:sz w:val="30"/>
          <w:szCs w:val="30"/>
        </w:rPr>
      </w:pPr>
      <w:r>
        <w:rPr>
          <w:rFonts w:hint="eastAsia" w:ascii="仿宋" w:hAnsi="仿宋" w:eastAsia="仿宋" w:cs="仿宋"/>
          <w:sz w:val="30"/>
          <w:szCs w:val="30"/>
        </w:rPr>
        <w:t>泌及旁分泌调节机制，揭示卵母细胞质量控制与胚胎发育潜能之</w:t>
      </w:r>
    </w:p>
    <w:p>
      <w:pPr>
        <w:rPr>
          <w:rFonts w:hint="eastAsia" w:ascii="仿宋" w:hAnsi="仿宋" w:eastAsia="仿宋" w:cs="仿宋"/>
          <w:sz w:val="30"/>
          <w:szCs w:val="30"/>
        </w:rPr>
      </w:pPr>
      <w:r>
        <w:rPr>
          <w:rFonts w:hint="eastAsia" w:ascii="仿宋" w:hAnsi="仿宋" w:eastAsia="仿宋" w:cs="仿宋"/>
          <w:sz w:val="30"/>
          <w:szCs w:val="30"/>
        </w:rPr>
        <w:t>间的关系，为提升卵母细胞和胚胎质量奠定理论基础。</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3.基于多组学的蒙古绵羊优良特性形成机制研究(申请代码1选择C17的下属代码)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针对蒙古绵羊优良特性解析不充分的现状，挖掘蒙古绵羊多 脊椎、脂肪沉积和抗性等特质性状相关功能基因，揭示优良性状 形成的分子机制和调控网络，优化蒙古绵羊育种价值评估指标，</w:t>
      </w:r>
    </w:p>
    <w:p>
      <w:pPr>
        <w:rPr>
          <w:rFonts w:hint="eastAsia" w:ascii="仿宋" w:hAnsi="仿宋" w:eastAsia="仿宋" w:cs="仿宋"/>
          <w:sz w:val="30"/>
          <w:szCs w:val="30"/>
        </w:rPr>
      </w:pPr>
      <w:r>
        <w:rPr>
          <w:rFonts w:hint="eastAsia" w:ascii="仿宋" w:hAnsi="仿宋" w:eastAsia="仿宋" w:cs="仿宋"/>
          <w:sz w:val="30"/>
          <w:szCs w:val="30"/>
        </w:rPr>
        <w:t>为蒙古绵羊种质创新提供理论依据。</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4.蒙古高原放牧羊肉品质特征与形成机制研究(申请代码1选择C20或C17的下属代码)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针对蒙古高原放牧羊肉品质特征挖掘不充分的现状，研究草 畜耦合下蒙古高原放牧羊肉品质特征和变化规律，解析羊肉品质 调控的关键环节和形成机制，为草原放牧羊肉标准制定和优势肉</w:t>
      </w:r>
    </w:p>
    <w:p>
      <w:pPr>
        <w:rPr>
          <w:rFonts w:hint="eastAsia" w:ascii="仿宋" w:hAnsi="仿宋" w:eastAsia="仿宋" w:cs="仿宋"/>
          <w:sz w:val="30"/>
          <w:szCs w:val="30"/>
        </w:rPr>
      </w:pPr>
      <w:r>
        <w:rPr>
          <w:rFonts w:hint="eastAsia" w:ascii="仿宋" w:hAnsi="仿宋" w:eastAsia="仿宋" w:cs="仿宋"/>
          <w:sz w:val="30"/>
          <w:szCs w:val="30"/>
        </w:rPr>
        <w:t>质资源利用提供依据。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以上研究方向内蒙古自治区以外的申请人应与内蒙古自治区内具有一定研究实力和研究条件的高等院校、研究机构或企业合作申请。</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二、环境与生态领域</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围绕内蒙古自治区内生态环境保护与建设的紧迫需求，针对 水生态恢复与水污染防控、盐碱地土壤无机碳截存、沙地植被生 态与健康演变以及草原牧区人居环境营建等领域的关键科学问题，开展基础研究或应用基础研究。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重点支持项目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研究方向：</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1.毛乌素沙地湖泊群生态水文过程演变机制与调控研究(申</w:t>
      </w:r>
    </w:p>
    <w:p>
      <w:pPr>
        <w:rPr>
          <w:rFonts w:hint="eastAsia" w:ascii="仿宋" w:hAnsi="仿宋" w:eastAsia="仿宋" w:cs="仿宋"/>
          <w:b/>
          <w:bCs/>
          <w:sz w:val="30"/>
          <w:szCs w:val="30"/>
        </w:rPr>
      </w:pPr>
      <w:r>
        <w:rPr>
          <w:rFonts w:hint="eastAsia" w:ascii="仿宋" w:hAnsi="仿宋" w:eastAsia="仿宋" w:cs="仿宋"/>
          <w:b/>
          <w:bCs/>
          <w:sz w:val="30"/>
          <w:szCs w:val="30"/>
        </w:rPr>
        <w:t>请代码1选择D01的下属代码)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针对毛乌素沙地湖泊生态退化问题，研究湖泊群水文、生态 环境的演变及其驱动因素，揭示湖泊群与区域生态水文协同变化 机制，提出维持湖泊生态的地下水开采及水位阈值，构建湖泊群</w:t>
      </w:r>
    </w:p>
    <w:p>
      <w:pPr>
        <w:rPr>
          <w:rFonts w:hint="eastAsia" w:ascii="仿宋" w:hAnsi="仿宋" w:eastAsia="仿宋" w:cs="仿宋"/>
          <w:sz w:val="30"/>
          <w:szCs w:val="30"/>
        </w:rPr>
      </w:pPr>
      <w:r>
        <w:rPr>
          <w:rFonts w:hint="eastAsia" w:ascii="仿宋" w:hAnsi="仿宋" w:eastAsia="仿宋" w:cs="仿宋"/>
          <w:sz w:val="30"/>
          <w:szCs w:val="30"/>
        </w:rPr>
        <w:t>水文-水生态-水环境功能协同提升体系。</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2.河套灌区盐碱地无机碳截存及驱动机制研究(申请代码1选择D07的下属代码)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研究河套灌区盐碱地CO2捕获驱动因子，阐明水盐运移过程 与碳酸盐迁移的时空关系，揭示土壤无机碳的迁移、循环与累积 机制，定量评估无机碳截存的潜力，提出土壤无机碳截存能力的</w:t>
      </w:r>
    </w:p>
    <w:p>
      <w:pPr>
        <w:rPr>
          <w:rFonts w:hint="eastAsia" w:ascii="仿宋" w:hAnsi="仿宋" w:eastAsia="仿宋" w:cs="仿宋"/>
          <w:sz w:val="30"/>
          <w:szCs w:val="30"/>
        </w:rPr>
      </w:pPr>
      <w:r>
        <w:rPr>
          <w:rFonts w:hint="eastAsia" w:ascii="仿宋" w:hAnsi="仿宋" w:eastAsia="仿宋" w:cs="仿宋"/>
          <w:sz w:val="30"/>
          <w:szCs w:val="30"/>
        </w:rPr>
        <w:t>提升途径。</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3.浑善达克沙地植被生态演变与健康维持机制研究(申请代</w:t>
      </w:r>
    </w:p>
    <w:p>
      <w:pPr>
        <w:rPr>
          <w:rFonts w:hint="eastAsia" w:ascii="仿宋" w:hAnsi="仿宋" w:eastAsia="仿宋" w:cs="仿宋"/>
          <w:b/>
          <w:bCs/>
          <w:sz w:val="30"/>
          <w:szCs w:val="30"/>
        </w:rPr>
      </w:pPr>
      <w:r>
        <w:rPr>
          <w:rFonts w:hint="eastAsia" w:ascii="仿宋" w:hAnsi="仿宋" w:eastAsia="仿宋" w:cs="仿宋"/>
          <w:b/>
          <w:bCs/>
          <w:sz w:val="30"/>
          <w:szCs w:val="30"/>
        </w:rPr>
        <w:t>码1选择C16的下属代码)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针对浑善达克沙地草场退化问题，研究植被和水资源时空演 变特征及驱动力，揭示生境破碎化下植物多样性变化规律，评估</w:t>
      </w:r>
    </w:p>
    <w:p>
      <w:pPr>
        <w:rPr>
          <w:rFonts w:hint="eastAsia" w:ascii="仿宋" w:hAnsi="仿宋" w:eastAsia="仿宋" w:cs="仿宋"/>
          <w:sz w:val="30"/>
          <w:szCs w:val="30"/>
        </w:rPr>
      </w:pPr>
      <w:r>
        <w:rPr>
          <w:rFonts w:hint="eastAsia" w:ascii="仿宋" w:hAnsi="仿宋" w:eastAsia="仿宋" w:cs="仿宋"/>
          <w:sz w:val="30"/>
          <w:szCs w:val="30"/>
        </w:rPr>
        <w:t>生态系统健康状况并明确其维持机制，提出生态修复与保护方案。</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4.内蒙古草原牧区人居环境建筑营建理论与设计方法体系研究(申请代码1选择E08的下属代码)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针对内蒙古草原牧区人居环境建筑营建关键难题，解析内蒙</w:t>
      </w:r>
    </w:p>
    <w:p>
      <w:pPr>
        <w:rPr>
          <w:rFonts w:hint="eastAsia" w:ascii="仿宋" w:hAnsi="仿宋" w:eastAsia="仿宋" w:cs="仿宋"/>
          <w:sz w:val="30"/>
          <w:szCs w:val="30"/>
        </w:rPr>
      </w:pPr>
      <w:r>
        <w:rPr>
          <w:rFonts w:hint="eastAsia" w:ascii="仿宋" w:hAnsi="仿宋" w:eastAsia="仿宋" w:cs="仿宋"/>
          <w:sz w:val="30"/>
          <w:szCs w:val="30"/>
        </w:rPr>
        <w:t>古草原牧区人居环境营建影响因素，提出生活-生产-生态空间布局的优化模式，构建适宜草原牧区自然、资源、社会的建筑营建理论与设计方法体系。</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5.黄河流域内蒙古段新污染物源解析、迁移转化与风险识别</w:t>
      </w:r>
    </w:p>
    <w:p>
      <w:pPr>
        <w:rPr>
          <w:rFonts w:hint="eastAsia" w:ascii="仿宋" w:hAnsi="仿宋" w:eastAsia="仿宋" w:cs="仿宋"/>
          <w:b/>
          <w:bCs/>
          <w:sz w:val="30"/>
          <w:szCs w:val="30"/>
        </w:rPr>
      </w:pPr>
      <w:r>
        <w:rPr>
          <w:rFonts w:hint="eastAsia" w:ascii="仿宋" w:hAnsi="仿宋" w:eastAsia="仿宋" w:cs="仿宋"/>
          <w:b/>
          <w:bCs/>
          <w:sz w:val="30"/>
          <w:szCs w:val="30"/>
        </w:rPr>
        <w:t>(申请代码1选择D07的下属代码)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针对黄河流域内蒙古段新污染物管控需求，建立复杂基质新 污染物筛查方法，阐明新污染物排放源特征，揭示新污染物的时 空分布与迁移转化过程，识别区域内高风险污染因子，评估新污</w:t>
      </w:r>
    </w:p>
    <w:p>
      <w:pPr>
        <w:rPr>
          <w:rFonts w:hint="eastAsia" w:ascii="仿宋" w:hAnsi="仿宋" w:eastAsia="仿宋" w:cs="仿宋"/>
          <w:sz w:val="30"/>
          <w:szCs w:val="30"/>
        </w:rPr>
      </w:pPr>
      <w:r>
        <w:rPr>
          <w:rFonts w:hint="eastAsia" w:ascii="仿宋" w:hAnsi="仿宋" w:eastAsia="仿宋" w:cs="仿宋"/>
          <w:sz w:val="30"/>
          <w:szCs w:val="30"/>
        </w:rPr>
        <w:t>染物的潜在生态风险。</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6.河套灌区农田节水-控盐-减污多目标协同与调控机制(申</w:t>
      </w:r>
    </w:p>
    <w:p>
      <w:pPr>
        <w:rPr>
          <w:rFonts w:hint="eastAsia" w:ascii="仿宋" w:hAnsi="仿宋" w:eastAsia="仿宋" w:cs="仿宋"/>
          <w:b/>
          <w:bCs/>
          <w:sz w:val="30"/>
          <w:szCs w:val="30"/>
        </w:rPr>
      </w:pPr>
      <w:r>
        <w:rPr>
          <w:rFonts w:hint="eastAsia" w:ascii="仿宋" w:hAnsi="仿宋" w:eastAsia="仿宋" w:cs="仿宋"/>
          <w:b/>
          <w:bCs/>
          <w:sz w:val="30"/>
          <w:szCs w:val="30"/>
        </w:rPr>
        <w:t>请代码1选择E09的下属代码)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研究不同灌排模式水盐运移与污染物转化规律，揭示水盐污 耦合的作用机理，建立水盐污耦合定量表征与尺度转化方法，提</w:t>
      </w:r>
    </w:p>
    <w:p>
      <w:pPr>
        <w:rPr>
          <w:rFonts w:hint="eastAsia" w:ascii="仿宋" w:hAnsi="仿宋" w:eastAsia="仿宋" w:cs="仿宋"/>
          <w:sz w:val="30"/>
          <w:szCs w:val="30"/>
        </w:rPr>
      </w:pPr>
      <w:r>
        <w:rPr>
          <w:rFonts w:hint="eastAsia" w:ascii="仿宋" w:hAnsi="仿宋" w:eastAsia="仿宋" w:cs="仿宋"/>
          <w:sz w:val="30"/>
          <w:szCs w:val="30"/>
        </w:rPr>
        <w:t>出基于灌排模式的节水-控盐-减污多目标协同的调控途径。</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以上研究方向内蒙古自治区以外的申请人应与内蒙古自治区内具有一定研究实力和研究条件的高等院校、研究机构或企业合作申请。</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三、 能源与化工领域</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立足内蒙古自治区能源和战略资源利用的重大需求，围绕煤 系资源与新能源利用中的关键科学问题，开展相关基础研究或应</w:t>
      </w:r>
    </w:p>
    <w:p>
      <w:pPr>
        <w:rPr>
          <w:rFonts w:hint="eastAsia" w:ascii="仿宋" w:hAnsi="仿宋" w:eastAsia="仿宋" w:cs="仿宋"/>
          <w:sz w:val="30"/>
          <w:szCs w:val="30"/>
          <w:lang w:eastAsia="zh-CN"/>
        </w:rPr>
      </w:pPr>
      <w:r>
        <w:rPr>
          <w:rFonts w:hint="eastAsia" w:ascii="仿宋" w:hAnsi="仿宋" w:eastAsia="仿宋" w:cs="仿宋"/>
          <w:sz w:val="30"/>
          <w:szCs w:val="30"/>
        </w:rPr>
        <w:t>用基础研究</w:t>
      </w:r>
      <w:r>
        <w:rPr>
          <w:rFonts w:hint="eastAsia" w:ascii="仿宋" w:hAnsi="仿宋" w:eastAsia="仿宋" w:cs="仿宋"/>
          <w:sz w:val="30"/>
          <w:szCs w:val="30"/>
          <w:lang w:eastAsia="zh-CN"/>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重点支持项目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研究方向：</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1.低成本宽温域高性能储能电池关键材料基础研究(申请代</w:t>
      </w:r>
    </w:p>
    <w:p>
      <w:pPr>
        <w:rPr>
          <w:rFonts w:hint="eastAsia" w:ascii="仿宋" w:hAnsi="仿宋" w:eastAsia="仿宋" w:cs="仿宋"/>
          <w:b/>
          <w:bCs/>
          <w:sz w:val="30"/>
          <w:szCs w:val="30"/>
        </w:rPr>
      </w:pPr>
      <w:r>
        <w:rPr>
          <w:rFonts w:hint="eastAsia" w:ascii="仿宋" w:hAnsi="仿宋" w:eastAsia="仿宋" w:cs="仿宋"/>
          <w:b/>
          <w:bCs/>
          <w:sz w:val="30"/>
          <w:szCs w:val="30"/>
        </w:rPr>
        <w:t>码1选择B09的下属代码)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针对极寒、极热气候变化造成的储能电池性能衰减和安全事 故问题，探索环境温度对电池安全和电化学性能影响机制，创制 宽温域储能电池新材料，揭示离子/电子在电解质、电极及界面中传输规律，实现低成本宽温域高性能储能电池制备。</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2.鄂尔多斯盆地煤系地层战略性金属富集机理与成矿模型研究(申请代码1选择D02的下属代码)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围绕鄂尔多斯盆地煤系关键金属元素分布特征、赋存模式和 共伴生问题，研究元素迁移模式并识别时空分布，揭示煤系战略</w:t>
      </w:r>
    </w:p>
    <w:p>
      <w:pPr>
        <w:rPr>
          <w:rFonts w:hint="eastAsia" w:ascii="仿宋" w:hAnsi="仿宋" w:eastAsia="仿宋" w:cs="仿宋"/>
          <w:sz w:val="30"/>
          <w:szCs w:val="30"/>
        </w:rPr>
      </w:pPr>
      <w:r>
        <w:rPr>
          <w:rFonts w:hint="eastAsia" w:ascii="仿宋" w:hAnsi="仿宋" w:eastAsia="仿宋" w:cs="仿宋"/>
          <w:sz w:val="30"/>
          <w:szCs w:val="30"/>
        </w:rPr>
        <w:t>性金属富集机理和演化规律，建立区域尺度的成矿模型。</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3.大型煤矿强动压软岩巷道大变形灾变机理与防控方法研究(申请代码1选择B04的下属代码)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针对大型煤矿厚松散层、薄基岩等复杂地质环境下安全开采 难题，阐明强动压软岩巷道围岩灾变演化过程及力学机理，建立 切顶充填与高预应力恒阻耦合支护协同防控力学模型，提出强动</w:t>
      </w:r>
    </w:p>
    <w:p>
      <w:pPr>
        <w:rPr>
          <w:rFonts w:hint="eastAsia" w:ascii="仿宋" w:hAnsi="仿宋" w:eastAsia="仿宋" w:cs="仿宋"/>
          <w:sz w:val="30"/>
          <w:szCs w:val="30"/>
        </w:rPr>
      </w:pPr>
      <w:r>
        <w:rPr>
          <w:rFonts w:hint="eastAsia" w:ascii="仿宋" w:hAnsi="仿宋" w:eastAsia="仿宋" w:cs="仿宋"/>
          <w:sz w:val="30"/>
          <w:szCs w:val="30"/>
        </w:rPr>
        <w:t>压软岩大变形灾变防控新设计与新方法。</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4.糠醛制备高端精细化学品的催化基础研究(申请代码1选择B02或B08的下属代码)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基于生物质糠醛资源，开展稀土复合催化剂创制和糠醛选择 性转化研究，揭示催化反应机制，阐明催化剂构效关系，建立糠</w:t>
      </w:r>
    </w:p>
    <w:p>
      <w:pPr>
        <w:rPr>
          <w:rFonts w:hint="eastAsia" w:ascii="仿宋" w:hAnsi="仿宋" w:eastAsia="仿宋" w:cs="仿宋"/>
          <w:sz w:val="30"/>
          <w:szCs w:val="30"/>
        </w:rPr>
      </w:pPr>
      <w:r>
        <w:rPr>
          <w:rFonts w:hint="eastAsia" w:ascii="仿宋" w:hAnsi="仿宋" w:eastAsia="仿宋" w:cs="仿宋"/>
          <w:sz w:val="30"/>
          <w:szCs w:val="30"/>
        </w:rPr>
        <w:t>醛制备若干高端精细化学品新方法。</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以上研究方向内蒙古自治区以外的申请人应与内蒙古自治区内具有一定研究实力和研究条件的高等院校、研究机构或企业合作申请。</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四、 新材料与先进制造领域</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立足内蒙古自治区新材料与先进制造领域的重大需求，围绕 稀土尾矿利用、特种钢检测、生物医用材料创制等过程中的关键</w:t>
      </w:r>
    </w:p>
    <w:p>
      <w:pPr>
        <w:rPr>
          <w:rFonts w:hint="eastAsia" w:ascii="仿宋" w:hAnsi="仿宋" w:eastAsia="仿宋" w:cs="仿宋"/>
          <w:sz w:val="30"/>
          <w:szCs w:val="30"/>
        </w:rPr>
      </w:pPr>
      <w:r>
        <w:rPr>
          <w:rFonts w:hint="eastAsia" w:ascii="仿宋" w:hAnsi="仿宋" w:eastAsia="仿宋" w:cs="仿宋"/>
          <w:sz w:val="30"/>
          <w:szCs w:val="30"/>
        </w:rPr>
        <w:t>科学问题，开展相关基础研究或应用基础研究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重点支持项目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研究方向：</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1.面向消化道肿瘤治疗的近红外二区荧光导航蛋白降解材料研究(申请代码1选择B04的下属代码)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针对消化系统肿瘤精准治疗的重大需求，构建具有肿瘤微环 境响应功能的近红外二区荧光成像和蛋白降解材料，揭示荧光导 航技术对肿瘤组织及其细胞内免疫调控关键蛋白的降解机理，阐 明抗肿瘤免疫效应的形成机制，实现消化系统恶性肿瘤的精准免</w:t>
      </w:r>
    </w:p>
    <w:p>
      <w:pPr>
        <w:rPr>
          <w:rFonts w:hint="eastAsia" w:ascii="仿宋" w:hAnsi="仿宋" w:eastAsia="仿宋" w:cs="仿宋"/>
          <w:sz w:val="30"/>
          <w:szCs w:val="30"/>
        </w:rPr>
      </w:pPr>
      <w:r>
        <w:rPr>
          <w:rFonts w:hint="eastAsia" w:ascii="仿宋" w:hAnsi="仿宋" w:eastAsia="仿宋" w:cs="仿宋"/>
          <w:sz w:val="30"/>
          <w:szCs w:val="30"/>
        </w:rPr>
        <w:t>疫治疗。</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2.稀土尾矿浸出液中稀有金属离子的高选择性富集机制及应用基础研究(申请代码1选择B01或B08的下属代码)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针对稀土尾矿浸出液中低浓度钪、钽、铌等稀有金属离子富 集效率不高、机制不明等问题，构建高选择性的新型稀有金属离 子交换材料，研究材料微观结构与富集性能的构效关系，揭示复</w:t>
      </w:r>
    </w:p>
    <w:p>
      <w:pPr>
        <w:rPr>
          <w:rFonts w:hint="eastAsia" w:ascii="仿宋" w:hAnsi="仿宋" w:eastAsia="仿宋" w:cs="仿宋"/>
          <w:sz w:val="30"/>
          <w:szCs w:val="30"/>
        </w:rPr>
      </w:pPr>
      <w:r>
        <w:rPr>
          <w:rFonts w:hint="eastAsia" w:ascii="仿宋" w:hAnsi="仿宋" w:eastAsia="仿宋" w:cs="仿宋"/>
          <w:sz w:val="30"/>
          <w:szCs w:val="30"/>
        </w:rPr>
        <w:t>杂环境条件下稀有金属离子的高选择性、高效富集捕获机理。</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3.复杂装备超高强韧特种钢装配结合面的机械性能无损检测研究(申请代码1选择E05的下属代码)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聚焦复杂装备超高强韧特种钢零件极端硬化层厚度和硬度的高分辨率超声检测研究，揭示含表面硬化层的装配结合面接触压强/刚度超声响应机制，建立考虑粗糙接触表面硬化层的装配结合面接触特性检测方法，为复杂装备整机性能提升保障提供科学理论与技术支撑。</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以上研究方向内蒙古自治区以外的申请人应与内蒙古自治区内具有一定研究实力和研究条件的高等院校、研究机构或企业合作申请。</w:t>
      </w: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sectPr>
          <w:pgSz w:w="11906" w:h="16838"/>
          <w:pgMar w:top="1440" w:right="1800" w:bottom="1440" w:left="1800" w:header="851" w:footer="992" w:gutter="0"/>
          <w:cols w:space="425" w:num="1"/>
          <w:docGrid w:type="lines" w:linePitch="312" w:charSpace="0"/>
        </w:sectPr>
      </w:pPr>
    </w:p>
    <w:p>
      <w:pPr>
        <w:spacing w:before="98" w:line="224" w:lineRule="auto"/>
        <w:ind w:left="159"/>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pStyle w:val="2"/>
        <w:spacing w:line="272" w:lineRule="auto"/>
      </w:pPr>
    </w:p>
    <w:p>
      <w:pPr>
        <w:spacing w:before="139" w:line="783" w:lineRule="exact"/>
        <w:ind w:left="571"/>
        <w:rPr>
          <w:rFonts w:ascii="宋体" w:hAnsi="宋体" w:eastAsia="宋体" w:cs="宋体"/>
          <w:sz w:val="43"/>
          <w:szCs w:val="43"/>
        </w:rPr>
      </w:pPr>
      <w:r>
        <w:rPr>
          <w:rFonts w:ascii="宋体" w:hAnsi="宋体" w:eastAsia="宋体" w:cs="宋体"/>
          <w:b/>
          <w:bCs/>
          <w:spacing w:val="-1"/>
          <w:position w:val="26"/>
          <w:sz w:val="43"/>
          <w:szCs w:val="43"/>
        </w:rPr>
        <w:t>2024年度国家自然科学基金区域联合基金项目申报情况汇总表</w:t>
      </w:r>
    </w:p>
    <w:p>
      <w:pPr>
        <w:spacing w:before="1" w:line="220" w:lineRule="auto"/>
        <w:ind w:left="148"/>
        <w:rPr>
          <w:rFonts w:ascii="仿宋" w:hAnsi="仿宋" w:eastAsia="仿宋" w:cs="仿宋"/>
          <w:sz w:val="27"/>
          <w:szCs w:val="27"/>
        </w:rPr>
      </w:pPr>
      <w:r>
        <w:rPr>
          <w:rFonts w:ascii="仿宋" w:hAnsi="仿宋" w:eastAsia="仿宋" w:cs="仿宋"/>
          <w:b/>
          <w:bCs/>
          <w:spacing w:val="-17"/>
          <w:sz w:val="27"/>
          <w:szCs w:val="27"/>
        </w:rPr>
        <w:t>申报单位：</w:t>
      </w:r>
    </w:p>
    <w:p>
      <w:pPr>
        <w:spacing w:line="129" w:lineRule="exact"/>
      </w:pPr>
    </w:p>
    <w:tbl>
      <w:tblPr>
        <w:tblStyle w:val="13"/>
        <w:tblW w:w="128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359"/>
        <w:gridCol w:w="4127"/>
        <w:gridCol w:w="1079"/>
        <w:gridCol w:w="5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794" w:type="dxa"/>
            <w:vAlign w:val="top"/>
          </w:tcPr>
          <w:p>
            <w:pPr>
              <w:spacing w:before="153" w:line="221" w:lineRule="auto"/>
              <w:ind w:left="98"/>
              <w:rPr>
                <w:rFonts w:ascii="宋体" w:hAnsi="宋体" w:eastAsia="宋体" w:cs="宋体"/>
                <w:sz w:val="27"/>
                <w:szCs w:val="27"/>
              </w:rPr>
            </w:pPr>
            <w:r>
              <w:rPr>
                <w:rFonts w:ascii="宋体" w:hAnsi="宋体" w:eastAsia="宋体" w:cs="宋体"/>
                <w:b/>
                <w:bCs/>
                <w:spacing w:val="-6"/>
                <w:sz w:val="27"/>
                <w:szCs w:val="27"/>
              </w:rPr>
              <w:t>序号</w:t>
            </w:r>
          </w:p>
        </w:tc>
        <w:tc>
          <w:tcPr>
            <w:tcW w:w="1359" w:type="dxa"/>
            <w:vAlign w:val="top"/>
          </w:tcPr>
          <w:p>
            <w:pPr>
              <w:spacing w:before="153" w:line="220" w:lineRule="auto"/>
              <w:ind w:left="384"/>
              <w:rPr>
                <w:rFonts w:ascii="宋体" w:hAnsi="宋体" w:eastAsia="宋体" w:cs="宋体"/>
                <w:sz w:val="27"/>
                <w:szCs w:val="27"/>
              </w:rPr>
            </w:pPr>
            <w:r>
              <w:rPr>
                <w:rFonts w:ascii="宋体" w:hAnsi="宋体" w:eastAsia="宋体" w:cs="宋体"/>
                <w:b/>
                <w:bCs/>
                <w:spacing w:val="-6"/>
                <w:sz w:val="27"/>
                <w:szCs w:val="27"/>
              </w:rPr>
              <w:t>领域</w:t>
            </w:r>
          </w:p>
        </w:tc>
        <w:tc>
          <w:tcPr>
            <w:tcW w:w="4127" w:type="dxa"/>
            <w:vAlign w:val="top"/>
          </w:tcPr>
          <w:p>
            <w:pPr>
              <w:spacing w:before="157" w:line="221" w:lineRule="auto"/>
              <w:ind w:left="1511"/>
              <w:rPr>
                <w:rFonts w:ascii="宋体" w:hAnsi="宋体" w:eastAsia="宋体" w:cs="宋体"/>
                <w:sz w:val="27"/>
                <w:szCs w:val="27"/>
              </w:rPr>
            </w:pPr>
            <w:r>
              <w:rPr>
                <w:rFonts w:ascii="宋体" w:hAnsi="宋体" w:eastAsia="宋体" w:cs="宋体"/>
                <w:spacing w:val="7"/>
                <w:sz w:val="27"/>
                <w:szCs w:val="27"/>
              </w:rPr>
              <w:t>指南方向</w:t>
            </w:r>
          </w:p>
        </w:tc>
        <w:tc>
          <w:tcPr>
            <w:tcW w:w="1079" w:type="dxa"/>
            <w:vAlign w:val="top"/>
          </w:tcPr>
          <w:p>
            <w:pPr>
              <w:spacing w:before="156" w:line="219" w:lineRule="auto"/>
              <w:ind w:left="164"/>
              <w:rPr>
                <w:rFonts w:ascii="宋体" w:hAnsi="宋体" w:eastAsia="宋体" w:cs="宋体"/>
                <w:sz w:val="27"/>
                <w:szCs w:val="27"/>
              </w:rPr>
            </w:pPr>
            <w:r>
              <w:rPr>
                <w:rFonts w:ascii="宋体" w:hAnsi="宋体" w:eastAsia="宋体" w:cs="宋体"/>
                <w:spacing w:val="3"/>
                <w:sz w:val="27"/>
                <w:szCs w:val="27"/>
              </w:rPr>
              <w:t>申请人</w:t>
            </w:r>
          </w:p>
        </w:tc>
        <w:tc>
          <w:tcPr>
            <w:tcW w:w="5461" w:type="dxa"/>
            <w:vAlign w:val="top"/>
          </w:tcPr>
          <w:p>
            <w:pPr>
              <w:spacing w:before="156" w:line="220" w:lineRule="auto"/>
              <w:ind w:left="2186"/>
              <w:rPr>
                <w:rFonts w:ascii="宋体" w:hAnsi="宋体" w:eastAsia="宋体" w:cs="宋体"/>
                <w:sz w:val="27"/>
                <w:szCs w:val="27"/>
              </w:rPr>
            </w:pPr>
            <w:r>
              <w:rPr>
                <w:rFonts w:ascii="宋体" w:hAnsi="宋体" w:eastAsia="宋体" w:cs="宋体"/>
                <w:spacing w:val="3"/>
                <w:sz w:val="27"/>
                <w:szCs w:val="27"/>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794" w:type="dxa"/>
            <w:vAlign w:val="top"/>
          </w:tcPr>
          <w:p>
            <w:pPr>
              <w:pStyle w:val="14"/>
            </w:pPr>
          </w:p>
        </w:tc>
        <w:tc>
          <w:tcPr>
            <w:tcW w:w="1359" w:type="dxa"/>
            <w:vAlign w:val="top"/>
          </w:tcPr>
          <w:p>
            <w:pPr>
              <w:pStyle w:val="14"/>
            </w:pPr>
          </w:p>
        </w:tc>
        <w:tc>
          <w:tcPr>
            <w:tcW w:w="4127" w:type="dxa"/>
            <w:vAlign w:val="top"/>
          </w:tcPr>
          <w:p>
            <w:pPr>
              <w:pStyle w:val="14"/>
            </w:pPr>
          </w:p>
        </w:tc>
        <w:tc>
          <w:tcPr>
            <w:tcW w:w="1079" w:type="dxa"/>
            <w:vAlign w:val="top"/>
          </w:tcPr>
          <w:p>
            <w:pPr>
              <w:pStyle w:val="14"/>
            </w:pPr>
          </w:p>
        </w:tc>
        <w:tc>
          <w:tcPr>
            <w:tcW w:w="5461" w:type="dxa"/>
            <w:vAlign w:val="top"/>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794" w:type="dxa"/>
            <w:vAlign w:val="top"/>
          </w:tcPr>
          <w:p>
            <w:pPr>
              <w:pStyle w:val="14"/>
            </w:pPr>
          </w:p>
        </w:tc>
        <w:tc>
          <w:tcPr>
            <w:tcW w:w="1359" w:type="dxa"/>
            <w:vAlign w:val="top"/>
          </w:tcPr>
          <w:p>
            <w:pPr>
              <w:pStyle w:val="14"/>
            </w:pPr>
          </w:p>
        </w:tc>
        <w:tc>
          <w:tcPr>
            <w:tcW w:w="4127" w:type="dxa"/>
            <w:vAlign w:val="top"/>
          </w:tcPr>
          <w:p>
            <w:pPr>
              <w:pStyle w:val="14"/>
            </w:pPr>
          </w:p>
        </w:tc>
        <w:tc>
          <w:tcPr>
            <w:tcW w:w="1079" w:type="dxa"/>
            <w:vAlign w:val="top"/>
          </w:tcPr>
          <w:p>
            <w:pPr>
              <w:pStyle w:val="14"/>
            </w:pPr>
          </w:p>
        </w:tc>
        <w:tc>
          <w:tcPr>
            <w:tcW w:w="5461" w:type="dxa"/>
            <w:vAlign w:val="top"/>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94" w:type="dxa"/>
            <w:vAlign w:val="top"/>
          </w:tcPr>
          <w:p>
            <w:pPr>
              <w:pStyle w:val="14"/>
            </w:pPr>
          </w:p>
        </w:tc>
        <w:tc>
          <w:tcPr>
            <w:tcW w:w="1359" w:type="dxa"/>
            <w:vAlign w:val="top"/>
          </w:tcPr>
          <w:p>
            <w:pPr>
              <w:pStyle w:val="14"/>
            </w:pPr>
          </w:p>
        </w:tc>
        <w:tc>
          <w:tcPr>
            <w:tcW w:w="4127" w:type="dxa"/>
            <w:vAlign w:val="top"/>
          </w:tcPr>
          <w:p>
            <w:pPr>
              <w:pStyle w:val="14"/>
            </w:pPr>
          </w:p>
        </w:tc>
        <w:tc>
          <w:tcPr>
            <w:tcW w:w="1079" w:type="dxa"/>
            <w:vAlign w:val="top"/>
          </w:tcPr>
          <w:p>
            <w:pPr>
              <w:pStyle w:val="14"/>
            </w:pPr>
          </w:p>
        </w:tc>
        <w:tc>
          <w:tcPr>
            <w:tcW w:w="5461" w:type="dxa"/>
            <w:vAlign w:val="top"/>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94" w:type="dxa"/>
            <w:vAlign w:val="top"/>
          </w:tcPr>
          <w:p>
            <w:pPr>
              <w:pStyle w:val="14"/>
            </w:pPr>
          </w:p>
        </w:tc>
        <w:tc>
          <w:tcPr>
            <w:tcW w:w="1359" w:type="dxa"/>
            <w:vAlign w:val="top"/>
          </w:tcPr>
          <w:p>
            <w:pPr>
              <w:pStyle w:val="14"/>
            </w:pPr>
          </w:p>
        </w:tc>
        <w:tc>
          <w:tcPr>
            <w:tcW w:w="4127" w:type="dxa"/>
            <w:vAlign w:val="top"/>
          </w:tcPr>
          <w:p>
            <w:pPr>
              <w:pStyle w:val="14"/>
            </w:pPr>
          </w:p>
        </w:tc>
        <w:tc>
          <w:tcPr>
            <w:tcW w:w="1079" w:type="dxa"/>
            <w:vAlign w:val="top"/>
          </w:tcPr>
          <w:p>
            <w:pPr>
              <w:pStyle w:val="14"/>
            </w:pPr>
          </w:p>
        </w:tc>
        <w:tc>
          <w:tcPr>
            <w:tcW w:w="5461" w:type="dxa"/>
            <w:vAlign w:val="top"/>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794" w:type="dxa"/>
            <w:vAlign w:val="top"/>
          </w:tcPr>
          <w:p>
            <w:pPr>
              <w:pStyle w:val="14"/>
            </w:pPr>
          </w:p>
        </w:tc>
        <w:tc>
          <w:tcPr>
            <w:tcW w:w="1359" w:type="dxa"/>
            <w:vAlign w:val="top"/>
          </w:tcPr>
          <w:p>
            <w:pPr>
              <w:pStyle w:val="14"/>
            </w:pPr>
          </w:p>
        </w:tc>
        <w:tc>
          <w:tcPr>
            <w:tcW w:w="4127" w:type="dxa"/>
            <w:vAlign w:val="top"/>
          </w:tcPr>
          <w:p>
            <w:pPr>
              <w:pStyle w:val="14"/>
            </w:pPr>
          </w:p>
        </w:tc>
        <w:tc>
          <w:tcPr>
            <w:tcW w:w="1079" w:type="dxa"/>
            <w:vAlign w:val="top"/>
          </w:tcPr>
          <w:p>
            <w:pPr>
              <w:pStyle w:val="14"/>
            </w:pPr>
          </w:p>
        </w:tc>
        <w:tc>
          <w:tcPr>
            <w:tcW w:w="5461" w:type="dxa"/>
            <w:vAlign w:val="top"/>
          </w:tcPr>
          <w:p>
            <w:pPr>
              <w:pStyle w:val="14"/>
            </w:pPr>
          </w:p>
        </w:tc>
      </w:tr>
    </w:tbl>
    <w:p>
      <w:pPr>
        <w:rPr>
          <w:rFonts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2NDQ1NGYxNTJiOWEwOTlkNGMwYmFmNWMyMGRjYTcifQ=="/>
  </w:docVars>
  <w:rsids>
    <w:rsidRoot w:val="00205AD4"/>
    <w:rsid w:val="000A4A9D"/>
    <w:rsid w:val="000B1785"/>
    <w:rsid w:val="001D41AF"/>
    <w:rsid w:val="00205AD4"/>
    <w:rsid w:val="00392674"/>
    <w:rsid w:val="003D20FA"/>
    <w:rsid w:val="004F33E3"/>
    <w:rsid w:val="005723FD"/>
    <w:rsid w:val="006B4CA1"/>
    <w:rsid w:val="007967AD"/>
    <w:rsid w:val="007D3943"/>
    <w:rsid w:val="00841CFA"/>
    <w:rsid w:val="008E1B96"/>
    <w:rsid w:val="009D2ABC"/>
    <w:rsid w:val="00A03D7F"/>
    <w:rsid w:val="00A7318D"/>
    <w:rsid w:val="00BC5B5C"/>
    <w:rsid w:val="00BD2B9C"/>
    <w:rsid w:val="00BD3838"/>
    <w:rsid w:val="00C149F0"/>
    <w:rsid w:val="00D17347"/>
    <w:rsid w:val="00EB112A"/>
    <w:rsid w:val="085D43C3"/>
    <w:rsid w:val="0ABE65A1"/>
    <w:rsid w:val="0B1C731A"/>
    <w:rsid w:val="15F1786F"/>
    <w:rsid w:val="240A3D1F"/>
    <w:rsid w:val="242D103F"/>
    <w:rsid w:val="24564F21"/>
    <w:rsid w:val="25241725"/>
    <w:rsid w:val="317B0F6A"/>
    <w:rsid w:val="32DA54BB"/>
    <w:rsid w:val="379555C6"/>
    <w:rsid w:val="42180876"/>
    <w:rsid w:val="43141224"/>
    <w:rsid w:val="4CBE7B0A"/>
    <w:rsid w:val="4D206C65"/>
    <w:rsid w:val="4E2A2723"/>
    <w:rsid w:val="564476A6"/>
    <w:rsid w:val="6278143F"/>
    <w:rsid w:val="62DB6626"/>
    <w:rsid w:val="68D55E22"/>
    <w:rsid w:val="73DE7D66"/>
    <w:rsid w:val="756920F3"/>
    <w:rsid w:val="78273D03"/>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Date"/>
    <w:basedOn w:val="1"/>
    <w:next w:val="1"/>
    <w:link w:val="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字符"/>
    <w:basedOn w:val="7"/>
    <w:link w:val="3"/>
    <w:uiPriority w:val="0"/>
    <w:rPr>
      <w:kern w:val="2"/>
      <w:sz w:val="21"/>
      <w:szCs w:val="24"/>
    </w:rPr>
  </w:style>
  <w:style w:type="paragraph" w:styleId="9">
    <w:name w:val="List Paragraph"/>
    <w:basedOn w:val="1"/>
    <w:link w:val="10"/>
    <w:qFormat/>
    <w:uiPriority w:val="34"/>
    <w:pPr>
      <w:ind w:firstLine="420" w:firstLineChars="200"/>
    </w:pPr>
    <w:rPr>
      <w:rFonts w:ascii="Calibri" w:hAnsi="Calibri"/>
      <w:szCs w:val="22"/>
    </w:rPr>
  </w:style>
  <w:style w:type="character" w:customStyle="1" w:styleId="10">
    <w:name w:val="列出段落 字符"/>
    <w:basedOn w:val="7"/>
    <w:link w:val="9"/>
    <w:qFormat/>
    <w:uiPriority w:val="34"/>
    <w:rPr>
      <w:rFonts w:ascii="Calibri" w:hAnsi="Calibri"/>
      <w:kern w:val="2"/>
      <w:sz w:val="21"/>
      <w:szCs w:val="22"/>
    </w:rPr>
  </w:style>
  <w:style w:type="character" w:customStyle="1" w:styleId="11">
    <w:name w:val="页眉 字符"/>
    <w:basedOn w:val="7"/>
    <w:link w:val="5"/>
    <w:qFormat/>
    <w:uiPriority w:val="0"/>
    <w:rPr>
      <w:kern w:val="2"/>
      <w:sz w:val="18"/>
      <w:szCs w:val="18"/>
    </w:rPr>
  </w:style>
  <w:style w:type="character" w:customStyle="1" w:styleId="12">
    <w:name w:val="页脚 字符"/>
    <w:basedOn w:val="7"/>
    <w:link w:val="4"/>
    <w:qFormat/>
    <w:uiPriority w:val="0"/>
    <w:rPr>
      <w:kern w:val="2"/>
      <w:sz w:val="18"/>
      <w:szCs w:val="18"/>
    </w:rPr>
  </w:style>
  <w:style w:type="table" w:customStyle="1" w:styleId="13">
    <w:name w:val="Table Normal"/>
    <w:semiHidden/>
    <w:unhideWhenUsed/>
    <w:qFormat/>
    <w:uiPriority w:val="0"/>
    <w:tblPr>
      <w:tblCellMar>
        <w:top w:w="0" w:type="dxa"/>
        <w:left w:w="0" w:type="dxa"/>
        <w:bottom w:w="0" w:type="dxa"/>
        <w:right w:w="0" w:type="dxa"/>
      </w:tblCellMar>
    </w:tblPr>
  </w:style>
  <w:style w:type="paragraph" w:customStyle="1" w:styleId="14">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4117</Words>
  <Characters>4276</Characters>
  <Lines>26</Lines>
  <Paragraphs>7</Paragraphs>
  <TotalTime>5</TotalTime>
  <ScaleCrop>false</ScaleCrop>
  <LinksUpToDate>false</LinksUpToDate>
  <CharactersWithSpaces>4285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2022-01-19T09:03:00Z</dcterms:created>
  <dc:creator>呼都特</dc:creator>
  <cp:lastModifiedBy>火狐狸</cp:lastModifiedBy>
  <cp:lastPrinted>2024-01-23T03:22:00Z</cp:lastPrinted>
  <dcterms:modified xsi:type="dcterms:W3CDTF">2024-01-25T02:44:26Z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C80614FC104D4E1981DFC9699A6A5132</vt:lpwstr>
  </property>
</Properties>
</file>